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B96438">
      <w:pPr>
        <w:spacing w:before="69" w:line="224" w:lineRule="auto"/>
        <w:ind w:left="119"/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u w:val="none" w:color="auto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pacing w:val="4"/>
          <w:sz w:val="44"/>
          <w:szCs w:val="44"/>
          <w:u w:val="single" w:color="auto"/>
          <w:lang w:eastAsia="zh-CN"/>
          <w14:textFill>
            <w14:solidFill>
              <w14:schemeClr w14:val="tx1"/>
            </w14:solidFill>
          </w14:textFill>
        </w:rPr>
        <w:t>拱辰佳苑东区36#楼三、四单元屋面及外墙防水维修改造</w:t>
      </w:r>
      <w:r>
        <w:rPr>
          <w:rFonts w:hint="eastAsia" w:ascii="方正小标宋_GBK" w:hAnsi="方正小标宋_GBK" w:eastAsia="方正小标宋_GBK" w:cs="方正小标宋_GBK"/>
          <w:color w:val="000000" w:themeColor="text1"/>
          <w:spacing w:val="4"/>
          <w:sz w:val="44"/>
          <w:szCs w:val="44"/>
          <w:u w:val="none" w:color="auto"/>
          <w14:textFill>
            <w14:solidFill>
              <w14:schemeClr w14:val="tx1"/>
            </w14:solidFill>
          </w14:textFill>
        </w:rPr>
        <w:t>工程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u w:val="none" w:color="auto"/>
          <w14:textFill>
            <w14:solidFill>
              <w14:schemeClr w14:val="tx1"/>
            </w14:solidFill>
          </w14:textFill>
        </w:rPr>
        <w:t>项目审计初步结果公示</w:t>
      </w:r>
    </w:p>
    <w:p w14:paraId="7D875C98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11" w:lineRule="auto"/>
        <w:ind w:left="57"/>
        <w:textAlignment w:val="baseline"/>
        <w:rPr>
          <w:rFonts w:hint="default" w:ascii="Times New Roman" w:hAnsi="Times New Roman" w:eastAsia="方正仿宋_GBK" w:cs="Times New Roman"/>
          <w:color w:val="000000" w:themeColor="text1"/>
          <w:spacing w:val="-9"/>
          <w:sz w:val="32"/>
          <w:szCs w:val="32"/>
          <w:u w:val="single" w:color="auto"/>
          <w14:textFill>
            <w14:solidFill>
              <w14:schemeClr w14:val="tx1"/>
            </w14:solidFill>
          </w14:textFill>
        </w:rPr>
      </w:pPr>
    </w:p>
    <w:p w14:paraId="3ADC03C4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11" w:lineRule="auto"/>
        <w:ind w:left="57"/>
        <w:textAlignment w:val="baseline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pacing w:val="4"/>
          <w:sz w:val="32"/>
          <w:szCs w:val="32"/>
          <w:u w:val="single" w:color="auto"/>
          <w:lang w:val="en-US" w:eastAsia="zh-CN"/>
          <w14:textFill>
            <w14:solidFill>
              <w14:schemeClr w14:val="tx1"/>
            </w14:solidFill>
          </w14:textFill>
        </w:rPr>
        <w:t>拱辰佳苑</w:t>
      </w:r>
      <w:r>
        <w:rPr>
          <w:rFonts w:hint="default" w:ascii="Times New Roman" w:hAnsi="Times New Roman" w:eastAsia="方正仿宋_GBK" w:cs="Times New Roman"/>
          <w:color w:val="000000" w:themeColor="text1"/>
          <w:spacing w:val="-9"/>
          <w:sz w:val="32"/>
          <w:szCs w:val="32"/>
          <w:u w:val="single" w:color="auto"/>
          <w14:textFill>
            <w14:solidFill>
              <w14:schemeClr w14:val="tx1"/>
            </w14:solidFill>
          </w14:textFill>
        </w:rPr>
        <w:t>业</w:t>
      </w:r>
      <w:r>
        <w:rPr>
          <w:rFonts w:hint="default" w:ascii="Times New Roman" w:hAnsi="Times New Roman" w:eastAsia="方正仿宋_GBK" w:cs="Times New Roman"/>
          <w:color w:val="000000" w:themeColor="text1"/>
          <w:spacing w:val="-9"/>
          <w:sz w:val="32"/>
          <w:szCs w:val="32"/>
          <w:u w:val="single" w:color="auto"/>
          <w:lang w:eastAsia="zh-CN"/>
          <w14:textFill>
            <w14:solidFill>
              <w14:schemeClr w14:val="tx1"/>
            </w14:solidFill>
          </w14:textFill>
        </w:rPr>
        <w:t>主</w:t>
      </w:r>
      <w:r>
        <w:rPr>
          <w:rFonts w:hint="default" w:ascii="Times New Roman" w:hAnsi="Times New Roman" w:eastAsia="方正仿宋_GBK" w:cs="Times New Roman"/>
          <w:color w:val="000000" w:themeColor="text1"/>
          <w:spacing w:val="-9"/>
          <w:sz w:val="32"/>
          <w:szCs w:val="32"/>
          <w:u w:val="none" w:color="auto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41593B7F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229" w:lineRule="auto"/>
        <w:ind w:left="74" w:right="79" w:firstLine="421"/>
        <w:textAlignment w:val="baseline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  <w:t>淮安生态文化旅游区拱辰佳苑东区物业管理委员会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申报的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  <w:t>拱辰佳苑东区36#楼三、四单元屋面及外墙防水维修改造工程工程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(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批次号：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PYB012027   )    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经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  <w:t>淮安生态文化旅游区拱辰佳苑东区物业管理委员会</w:t>
      </w:r>
      <w:r>
        <w:rPr>
          <w:rFonts w:hint="default" w:ascii="Times New Roman" w:hAnsi="Times New Roman" w:eastAsia="方正仿宋_GBK" w:cs="Times New Roman"/>
          <w:color w:val="000000" w:themeColor="text1"/>
          <w:spacing w:val="7"/>
          <w:sz w:val="32"/>
          <w:szCs w:val="32"/>
          <w14:textFill>
            <w14:solidFill>
              <w14:schemeClr w14:val="tx1"/>
            </w14:solidFill>
          </w14:textFill>
        </w:rPr>
        <w:t>组织竣工验收合格，工程决算已送审；经</w:t>
      </w:r>
      <w:r>
        <w:rPr>
          <w:rFonts w:hint="eastAsia" w:ascii="Times New Roman" w:hAnsi="Times New Roman" w:eastAsia="方正仿宋_GBK" w:cs="Times New Roman"/>
          <w:color w:val="000000" w:themeColor="text1"/>
          <w:spacing w:val="7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  <w:t xml:space="preserve">江苏泽豪工程咨询管理有限公司 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审计，初审结果如下：送审金额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49013.16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元，工程审定金额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46703.17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元</w:t>
      </w:r>
      <w:r>
        <w:rPr>
          <w:rFonts w:hint="default" w:ascii="Times New Roman" w:hAnsi="Times New Roman" w:eastAsia="方正仿宋_GBK" w:cs="Times New Roman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  <w:t>，核减额</w:t>
      </w:r>
      <w:r>
        <w:rPr>
          <w:rFonts w:hint="eastAsia" w:ascii="Times New Roman" w:hAnsi="Times New Roman" w:eastAsia="方正仿宋_GBK" w:cs="Times New Roman"/>
          <w:color w:val="000000" w:themeColor="text1"/>
          <w:spacing w:val="5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2309.99</w:t>
      </w:r>
      <w:r>
        <w:rPr>
          <w:rFonts w:hint="default" w:ascii="Times New Roman" w:hAnsi="Times New Roman" w:eastAsia="方正仿宋_GBK" w:cs="Times New Roman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  <w:t>元，核减率</w:t>
      </w:r>
      <w:r>
        <w:rPr>
          <w:rFonts w:hint="eastAsia" w:ascii="Times New Roman" w:hAnsi="Times New Roman" w:eastAsia="方正仿宋_GBK" w:cs="Times New Roman"/>
          <w:color w:val="000000" w:themeColor="text1"/>
          <w:spacing w:val="5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4.71</w:t>
      </w:r>
      <w:r>
        <w:rPr>
          <w:rFonts w:hint="default" w:ascii="Times New Roman" w:hAnsi="Times New Roman" w:eastAsia="方正仿宋_GBK" w:cs="Times New Roman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  <w:t>%，审计结算金额</w:t>
      </w:r>
      <w:r>
        <w:rPr>
          <w:rFonts w:hint="eastAsia" w:ascii="Times New Roman" w:hAnsi="Times New Roman" w:eastAsia="方正仿宋_GBK" w:cs="Times New Roman"/>
          <w:color w:val="000000" w:themeColor="text1"/>
          <w:spacing w:val="5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46703.17</w:t>
      </w:r>
      <w:r>
        <w:rPr>
          <w:rFonts w:hint="default" w:ascii="Times New Roman" w:hAnsi="Times New Roman" w:eastAsia="方正仿宋_GBK" w:cs="Times New Roman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  <w:t>元（按照合同约定让利</w:t>
      </w:r>
      <w:r>
        <w:rPr>
          <w:rFonts w:hint="default" w:ascii="Times New Roman" w:hAnsi="Times New Roman" w:eastAsia="方正仿宋_GBK" w:cs="Times New Roman"/>
          <w:color w:val="000000" w:themeColor="text1"/>
          <w:spacing w:val="5"/>
          <w:sz w:val="32"/>
          <w:szCs w:val="32"/>
          <w:u w:val="single"/>
          <w14:textFill>
            <w14:solidFill>
              <w14:schemeClr w14:val="tx1"/>
            </w14:solidFill>
          </w14:textFill>
        </w:rPr>
        <w:t>0</w:t>
      </w:r>
      <w:r>
        <w:rPr>
          <w:rFonts w:hint="default" w:ascii="Times New Roman" w:hAnsi="Times New Roman" w:eastAsia="方正仿宋_GBK" w:cs="Times New Roman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  <w:t>元）。</w:t>
      </w:r>
    </w:p>
    <w:p w14:paraId="17E30C9C">
      <w:pPr>
        <w:spacing w:before="165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10122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5"/>
        <w:gridCol w:w="1660"/>
        <w:gridCol w:w="1220"/>
        <w:gridCol w:w="1466"/>
        <w:gridCol w:w="1172"/>
        <w:gridCol w:w="1157"/>
        <w:gridCol w:w="966"/>
        <w:gridCol w:w="1006"/>
        <w:gridCol w:w="1070"/>
      </w:tblGrid>
      <w:tr w14:paraId="4838B3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7" w:hRule="atLeast"/>
        </w:trPr>
        <w:tc>
          <w:tcPr>
            <w:tcW w:w="405" w:type="dxa"/>
            <w:vAlign w:val="center"/>
          </w:tcPr>
          <w:p w14:paraId="51F6BB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660" w:type="dxa"/>
            <w:vAlign w:val="center"/>
          </w:tcPr>
          <w:p w14:paraId="142BEA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项目部位</w:t>
            </w:r>
          </w:p>
        </w:tc>
        <w:tc>
          <w:tcPr>
            <w:tcW w:w="1220" w:type="dxa"/>
            <w:vAlign w:val="center"/>
          </w:tcPr>
          <w:p w14:paraId="2EE528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64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预算金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额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  <w:tc>
          <w:tcPr>
            <w:tcW w:w="1466" w:type="dxa"/>
            <w:vAlign w:val="center"/>
          </w:tcPr>
          <w:p w14:paraId="023067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83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送审金额</w:t>
            </w:r>
          </w:p>
          <w:p w14:paraId="0C0418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83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  <w:tc>
          <w:tcPr>
            <w:tcW w:w="1172" w:type="dxa"/>
            <w:vAlign w:val="center"/>
          </w:tcPr>
          <w:p w14:paraId="74C8D1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审定价</w:t>
            </w:r>
          </w:p>
          <w:p w14:paraId="6835BF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  <w:tc>
          <w:tcPr>
            <w:tcW w:w="1157" w:type="dxa"/>
            <w:vAlign w:val="center"/>
          </w:tcPr>
          <w:p w14:paraId="736AB7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76"/>
              <w:jc w:val="center"/>
              <w:textAlignment w:val="baseline"/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审定结算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价（元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4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966" w:type="dxa"/>
            <w:vAlign w:val="center"/>
          </w:tcPr>
          <w:p w14:paraId="40A069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06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工程量</w:t>
            </w:r>
          </w:p>
          <w:p w14:paraId="4315FB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2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1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（㎡）</w:t>
            </w:r>
          </w:p>
        </w:tc>
        <w:tc>
          <w:tcPr>
            <w:tcW w:w="1006" w:type="dxa"/>
            <w:vAlign w:val="center"/>
          </w:tcPr>
          <w:p w14:paraId="4F36648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3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审计费</w:t>
            </w:r>
          </w:p>
          <w:p w14:paraId="692679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48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  <w:tc>
          <w:tcPr>
            <w:tcW w:w="1070" w:type="dxa"/>
            <w:vAlign w:val="center"/>
          </w:tcPr>
          <w:p w14:paraId="547D91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核减额</w:t>
            </w:r>
          </w:p>
          <w:p w14:paraId="78963D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</w:tr>
      <w:tr w14:paraId="67B3E1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405" w:type="dxa"/>
            <w:vAlign w:val="top"/>
          </w:tcPr>
          <w:p w14:paraId="2D0DAC53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0" w:type="dxa"/>
            <w:vAlign w:val="top"/>
          </w:tcPr>
          <w:p w14:paraId="0F88C279">
            <w:pPr>
              <w:spacing w:beforeLines="0" w:afterLines="0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36#楼三、四单元屋面防水</w:t>
            </w:r>
          </w:p>
        </w:tc>
        <w:tc>
          <w:tcPr>
            <w:tcW w:w="1220" w:type="dxa"/>
            <w:vAlign w:val="center"/>
          </w:tcPr>
          <w:p w14:paraId="39F39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46506.56</w:t>
            </w:r>
          </w:p>
        </w:tc>
        <w:tc>
          <w:tcPr>
            <w:tcW w:w="1466" w:type="dxa"/>
            <w:vAlign w:val="center"/>
          </w:tcPr>
          <w:p w14:paraId="6CBFA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45021.83</w:t>
            </w:r>
          </w:p>
        </w:tc>
        <w:tc>
          <w:tcPr>
            <w:tcW w:w="1172" w:type="dxa"/>
            <w:vAlign w:val="center"/>
          </w:tcPr>
          <w:p w14:paraId="22027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42945.09</w:t>
            </w:r>
          </w:p>
        </w:tc>
        <w:tc>
          <w:tcPr>
            <w:tcW w:w="1157" w:type="dxa"/>
            <w:vAlign w:val="center"/>
          </w:tcPr>
          <w:p w14:paraId="6FB3C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42945.09</w:t>
            </w:r>
          </w:p>
        </w:tc>
        <w:tc>
          <w:tcPr>
            <w:tcW w:w="966" w:type="dxa"/>
            <w:vAlign w:val="center"/>
          </w:tcPr>
          <w:p w14:paraId="7FD0F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375.35</w:t>
            </w:r>
          </w:p>
        </w:tc>
        <w:tc>
          <w:tcPr>
            <w:tcW w:w="1006" w:type="dxa"/>
            <w:vAlign w:val="center"/>
          </w:tcPr>
          <w:p w14:paraId="07C46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2206.88 </w:t>
            </w:r>
          </w:p>
        </w:tc>
        <w:tc>
          <w:tcPr>
            <w:tcW w:w="1070" w:type="dxa"/>
            <w:vAlign w:val="center"/>
          </w:tcPr>
          <w:p w14:paraId="26664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2076.74</w:t>
            </w:r>
          </w:p>
        </w:tc>
      </w:tr>
      <w:tr w14:paraId="0A2350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0" w:hRule="atLeast"/>
        </w:trPr>
        <w:tc>
          <w:tcPr>
            <w:tcW w:w="405" w:type="dxa"/>
            <w:vAlign w:val="top"/>
          </w:tcPr>
          <w:p w14:paraId="4B583B2C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60" w:type="dxa"/>
            <w:vAlign w:val="top"/>
          </w:tcPr>
          <w:p w14:paraId="1CDD034F">
            <w:pPr>
              <w:spacing w:beforeLines="0" w:afterLines="0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36#楼三单元305室外墙防水</w:t>
            </w:r>
          </w:p>
        </w:tc>
        <w:tc>
          <w:tcPr>
            <w:tcW w:w="1220" w:type="dxa"/>
            <w:vAlign w:val="center"/>
          </w:tcPr>
          <w:p w14:paraId="1FDA2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4204.49 </w:t>
            </w:r>
          </w:p>
        </w:tc>
        <w:tc>
          <w:tcPr>
            <w:tcW w:w="1466" w:type="dxa"/>
            <w:vAlign w:val="center"/>
          </w:tcPr>
          <w:p w14:paraId="6BA10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3991.36 </w:t>
            </w:r>
          </w:p>
        </w:tc>
        <w:tc>
          <w:tcPr>
            <w:tcW w:w="1172" w:type="dxa"/>
            <w:vAlign w:val="center"/>
          </w:tcPr>
          <w:p w14:paraId="61B8B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3758.08 </w:t>
            </w:r>
          </w:p>
        </w:tc>
        <w:tc>
          <w:tcPr>
            <w:tcW w:w="1157" w:type="dxa"/>
            <w:vAlign w:val="center"/>
          </w:tcPr>
          <w:p w14:paraId="419B9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3758.08 </w:t>
            </w:r>
          </w:p>
        </w:tc>
        <w:tc>
          <w:tcPr>
            <w:tcW w:w="966" w:type="dxa"/>
            <w:vAlign w:val="center"/>
          </w:tcPr>
          <w:p w14:paraId="14AFC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42.37 </w:t>
            </w:r>
          </w:p>
        </w:tc>
        <w:tc>
          <w:tcPr>
            <w:tcW w:w="1006" w:type="dxa"/>
            <w:vAlign w:val="center"/>
          </w:tcPr>
          <w:p w14:paraId="64590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193.12 </w:t>
            </w:r>
          </w:p>
        </w:tc>
        <w:tc>
          <w:tcPr>
            <w:tcW w:w="1070" w:type="dxa"/>
            <w:vAlign w:val="center"/>
          </w:tcPr>
          <w:p w14:paraId="54616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1"/>
                <w:position w:val="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233.28</w:t>
            </w:r>
          </w:p>
        </w:tc>
      </w:tr>
      <w:tr w14:paraId="5358B7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405" w:type="dxa"/>
            <w:vAlign w:val="top"/>
          </w:tcPr>
          <w:p w14:paraId="78705393">
            <w:pPr>
              <w:spacing w:beforeLines="0" w:afterLines="0"/>
              <w:jc w:val="righ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0" w:type="dxa"/>
            <w:vAlign w:val="top"/>
          </w:tcPr>
          <w:p w14:paraId="3051877A">
            <w:pPr>
              <w:spacing w:beforeLines="0" w:afterLines="0"/>
              <w:jc w:val="lef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  <w:p w14:paraId="1E33CC90">
            <w:pPr>
              <w:spacing w:beforeLines="0" w:afterLines="0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4E812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50711.05 </w:t>
            </w:r>
          </w:p>
        </w:tc>
        <w:tc>
          <w:tcPr>
            <w:tcW w:w="1466" w:type="dxa"/>
            <w:vAlign w:val="center"/>
          </w:tcPr>
          <w:p w14:paraId="39DAB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49013.19 </w:t>
            </w:r>
          </w:p>
        </w:tc>
        <w:tc>
          <w:tcPr>
            <w:tcW w:w="1172" w:type="dxa"/>
            <w:vAlign w:val="center"/>
          </w:tcPr>
          <w:p w14:paraId="0F5D8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46703.17 </w:t>
            </w:r>
          </w:p>
        </w:tc>
        <w:tc>
          <w:tcPr>
            <w:tcW w:w="1157" w:type="dxa"/>
            <w:vAlign w:val="center"/>
          </w:tcPr>
          <w:p w14:paraId="3F721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46703.17 </w:t>
            </w:r>
          </w:p>
        </w:tc>
        <w:tc>
          <w:tcPr>
            <w:tcW w:w="966" w:type="dxa"/>
            <w:vAlign w:val="top"/>
          </w:tcPr>
          <w:p w14:paraId="38A39F7D">
            <w:pPr>
              <w:spacing w:beforeLines="0" w:afterLines="0"/>
              <w:jc w:val="left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B893B79">
            <w:pPr>
              <w:spacing w:beforeLines="0" w:afterLines="0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417.72</w:t>
            </w:r>
          </w:p>
        </w:tc>
        <w:tc>
          <w:tcPr>
            <w:tcW w:w="1006" w:type="dxa"/>
            <w:vAlign w:val="top"/>
          </w:tcPr>
          <w:p w14:paraId="397B740C">
            <w:pPr>
              <w:spacing w:beforeLines="0" w:afterLines="0"/>
              <w:jc w:val="lef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  <w:p w14:paraId="7FE49906">
            <w:pPr>
              <w:spacing w:beforeLines="0" w:afterLines="0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2400.00 </w:t>
            </w:r>
          </w:p>
        </w:tc>
        <w:tc>
          <w:tcPr>
            <w:tcW w:w="1070" w:type="dxa"/>
            <w:vAlign w:val="top"/>
          </w:tcPr>
          <w:p w14:paraId="3B9F9B2F">
            <w:pPr>
              <w:spacing w:beforeLines="0" w:afterLines="0"/>
              <w:jc w:val="lef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  <w:p w14:paraId="20671FB9">
            <w:pPr>
              <w:spacing w:beforeLines="0" w:afterLines="0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2309.99</w:t>
            </w:r>
          </w:p>
        </w:tc>
      </w:tr>
    </w:tbl>
    <w:p w14:paraId="1A75F70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32" w:lineRule="auto"/>
        <w:ind w:left="75" w:right="219" w:firstLine="556"/>
        <w:textAlignment w:val="baseline"/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93183D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32" w:lineRule="auto"/>
        <w:ind w:left="75" w:right="219" w:firstLine="556"/>
        <w:textAlignment w:val="baseline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该项目审计费用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2400.00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元，其他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费用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元，一并从维修资金账户列</w:t>
      </w:r>
      <w:r>
        <w:rPr>
          <w:rFonts w:hint="default" w:ascii="Times New Roman" w:hAnsi="Times New Roman" w:eastAsia="方正仿宋_GBK" w:cs="Times New Roman"/>
          <w:color w:val="000000" w:themeColor="text1"/>
          <w:spacing w:val="-7"/>
          <w:sz w:val="32"/>
          <w:szCs w:val="32"/>
          <w14:textFill>
            <w14:solidFill>
              <w14:schemeClr w14:val="tx1"/>
            </w14:solidFill>
          </w14:textFill>
        </w:rPr>
        <w:t>支。</w:t>
      </w:r>
    </w:p>
    <w:p w14:paraId="07872CA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3" w:lineRule="auto"/>
        <w:ind w:left="0" w:leftChars="0" w:firstLine="656" w:firstLineChars="200"/>
        <w:textAlignment w:val="baseline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相关业主、单位如对公示结果有异议，请在2025年</w:t>
      </w:r>
      <w:r>
        <w:rPr>
          <w:rFonts w:hint="eastAsia" w:ascii="Times New Roman" w:hAnsi="Times New Roman" w:eastAsia="方正仿宋_GBK" w:cs="Times New Roman"/>
          <w:color w:val="000000" w:themeColor="text1"/>
          <w:spacing w:val="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default" w:ascii="Times New Roman" w:hAnsi="Times New Roman" w:eastAsia="方正仿宋_GBK" w:cs="Times New Roman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方正仿宋_GBK" w:cs="Times New Roman"/>
          <w:color w:val="000000" w:themeColor="text1"/>
          <w:spacing w:val="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28</w:t>
      </w:r>
      <w:r>
        <w:rPr>
          <w:rFonts w:hint="default" w:ascii="Times New Roman" w:hAnsi="Times New Roman" w:eastAsia="方正仿宋_GBK" w:cs="Times New Roman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日前实名向我</w:t>
      </w:r>
      <w:r>
        <w:rPr>
          <w:rFonts w:hint="eastAsia" w:ascii="Times New Roman" w:hAnsi="Times New Roman" w:eastAsia="方正仿宋_GBK" w:cs="Times New Roman"/>
          <w:color w:val="000000" w:themeColor="text1"/>
          <w:spacing w:val="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局</w:t>
      </w:r>
      <w:r>
        <w:rPr>
          <w:rFonts w:hint="default" w:ascii="Times New Roman" w:hAnsi="Times New Roman" w:eastAsia="方正仿宋_GBK" w:cs="Times New Roman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反映，并提供相关依据。（工作日接待时间：9：00-12：00、13：30-17：30）。联</w:t>
      </w:r>
      <w:r>
        <w:rPr>
          <w:rFonts w:hint="default" w:ascii="Times New Roman" w:hAnsi="Times New Roman" w:eastAsia="方正仿宋_GBK" w:cs="Times New Roman"/>
          <w:color w:val="000000" w:themeColor="text1"/>
          <w:spacing w:val="3"/>
          <w:sz w:val="32"/>
          <w:szCs w:val="32"/>
          <w14:textFill>
            <w14:solidFill>
              <w14:schemeClr w14:val="tx1"/>
            </w14:solidFill>
          </w14:textFill>
        </w:rPr>
        <w:t>系电话：</w:t>
      </w:r>
      <w:r>
        <w:rPr>
          <w:rFonts w:hint="eastAsia" w:ascii="Times New Roman" w:hAnsi="Times New Roman" w:eastAsia="方正仿宋_GBK" w:cs="Times New Roman"/>
          <w:color w:val="000000" w:themeColor="text1"/>
          <w:spacing w:val="3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0517-89087576</w:t>
      </w:r>
    </w:p>
    <w:p w14:paraId="290F510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textAlignment w:val="baseline"/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                       </w:t>
      </w:r>
    </w:p>
    <w:p w14:paraId="08435E6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ind w:firstLine="4800" w:firstLineChars="1500"/>
        <w:textAlignment w:val="baseline"/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淮安生态文化旅游区建设管理局</w:t>
      </w:r>
    </w:p>
    <w:p w14:paraId="07F9E1D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6" w:lineRule="auto"/>
        <w:ind w:firstLine="5372" w:firstLineChars="1700"/>
        <w:textAlignment w:val="baseline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公示时间：2025年</w:t>
      </w:r>
      <w:r>
        <w:rPr>
          <w:rFonts w:hint="eastAsia" w:ascii="Times New Roman" w:hAnsi="Times New Roman" w:eastAsia="方正仿宋_GBK" w:cs="Times New Roman"/>
          <w:color w:val="000000" w:themeColor="text1"/>
          <w:spacing w:val="-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default" w:ascii="Times New Roman" w:hAnsi="Times New Roman" w:eastAsia="方正仿宋_GBK" w:cs="Times New Roman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方正仿宋_GBK" w:cs="Times New Roman"/>
          <w:color w:val="000000" w:themeColor="text1"/>
          <w:spacing w:val="2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23</w:t>
      </w:r>
      <w:r>
        <w:rPr>
          <w:rFonts w:hint="default" w:ascii="Times New Roman" w:hAnsi="Times New Roman" w:eastAsia="方正仿宋_GBK" w:cs="Times New Roman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sectPr>
      <w:pgSz w:w="11905" w:h="16837"/>
      <w:pgMar w:top="640" w:right="836" w:bottom="0" w:left="93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69FFFA6-C044-48AC-8928-F5A32C2B46EA}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2" w:fontKey="{52622837-0913-468B-99A8-5E3CAFEF083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159178BB-A78E-4B30-B1EB-E85AFFC15132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172A27"/>
    <w:rsid w:val="01B65B30"/>
    <w:rsid w:val="07555925"/>
    <w:rsid w:val="0C1376B0"/>
    <w:rsid w:val="0E765A55"/>
    <w:rsid w:val="132C1971"/>
    <w:rsid w:val="18312E7F"/>
    <w:rsid w:val="1F703AE8"/>
    <w:rsid w:val="26C6005E"/>
    <w:rsid w:val="2CA36F24"/>
    <w:rsid w:val="2E625D39"/>
    <w:rsid w:val="2EC5109B"/>
    <w:rsid w:val="33DC63B3"/>
    <w:rsid w:val="34976513"/>
    <w:rsid w:val="42473360"/>
    <w:rsid w:val="43357F6B"/>
    <w:rsid w:val="46AB1B60"/>
    <w:rsid w:val="47871C79"/>
    <w:rsid w:val="569063F4"/>
    <w:rsid w:val="61F20266"/>
    <w:rsid w:val="6C95765F"/>
    <w:rsid w:val="6E98781A"/>
    <w:rsid w:val="73584CA9"/>
    <w:rsid w:val="79DA6A9A"/>
    <w:rsid w:val="7BE644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7"/>
      <w:szCs w:val="27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443</Words>
  <Characters>659</Characters>
  <TotalTime>8</TotalTime>
  <ScaleCrop>false</ScaleCrop>
  <LinksUpToDate>false</LinksUpToDate>
  <CharactersWithSpaces>746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2025-09-17T15:36:00Z</dcterms:created>
  <dc:creator>Administrator</dc:creator>
  <cp:lastModifiedBy>动感光波</cp:lastModifiedBy>
  <cp:lastPrinted>2025-12-22T03:13:15Z</cp:lastPrinted>
  <dcterms:modified xsi:type="dcterms:W3CDTF">2025-12-22T03:14:39Z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2025-09-17T15:37:40Z</vt:filetime>
  </property>
  <property fmtid="{D5CDD505-2E9C-101B-9397-08002B2CF9AE}" pid="4" name="KSOTemplateDocerSaveRecord">
    <vt:lpwstr>eyJoZGlkIjoiMDI1MDlhMWM3Y2VhY2ZhN2M2YTc3ZDdlMzI3NDEyZWYiLCJ1c2VySWQiOiI1ODE5ODA2NzMifQ==</vt:lpwstr>
  </property>
  <property fmtid="{D5CDD505-2E9C-101B-9397-08002B2CF9AE}" pid="5" name="KSOProductBuildVer">
    <vt:lpwstr>2052-12.1.0.24034</vt:lpwstr>
  </property>
  <property fmtid="{D5CDD505-2E9C-101B-9397-08002B2CF9AE}" pid="6" name="ICV">
    <vt:lpwstr>87D1D4827C474992BFF67935E8803160_13</vt:lpwstr>
  </property>
</Properties>
</file>