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44F0E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  <w:t>兴安华庭6#楼商业4011室屋面防水维修改造工程</w:t>
      </w:r>
    </w:p>
    <w:p w14:paraId="7D875C98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  <w:t>项目审计初步结果公示</w:t>
      </w:r>
    </w:p>
    <w:p w14:paraId="461786E2">
      <w:pPr>
        <w:spacing w:before="69" w:line="224" w:lineRule="auto"/>
        <w:ind w:left="119"/>
        <w:jc w:val="center"/>
        <w:rPr>
          <w:rFonts w:hint="default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</w:p>
    <w:p w14:paraId="3ADC03C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1" w:lineRule="auto"/>
        <w:ind w:left="57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兴安华庭6#楼商业4011室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14:textFill>
            <w14:solidFill>
              <w14:schemeClr w14:val="tx1"/>
            </w14:solidFill>
          </w14:textFill>
        </w:rPr>
        <w:t>业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7E30C9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29" w:lineRule="auto"/>
        <w:ind w:right="79" w:firstLine="664" w:firstLineChars="20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淮安市兴安华庭小区首届物业管理委员会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申报的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兴安华庭6#楼商业4011室屋面防水维修改造工程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批次号：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PYB015303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淮安市兴安华庭小区首届物业管理委员会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7"/>
          <w:sz w:val="32"/>
          <w:szCs w:val="32"/>
          <w14:textFill>
            <w14:solidFill>
              <w14:schemeClr w14:val="tx1"/>
            </w14:solidFill>
          </w14:textFill>
        </w:rPr>
        <w:t>组织竣工验收合格，工程决算已送审；经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江苏顺天工程项目管理咨询有限公司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审计，初审结果如下：送审金额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76514.28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元，工程审定金额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72332.42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，核减额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4181.86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元，核减率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5.47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%，审计结算金额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72332.42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元（按照合同约定让利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元）。</w:t>
      </w:r>
    </w:p>
    <w:tbl>
      <w:tblPr>
        <w:tblStyle w:val="5"/>
        <w:tblW w:w="10122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1660"/>
        <w:gridCol w:w="1220"/>
        <w:gridCol w:w="1466"/>
        <w:gridCol w:w="1172"/>
        <w:gridCol w:w="1157"/>
        <w:gridCol w:w="966"/>
        <w:gridCol w:w="1068"/>
        <w:gridCol w:w="1008"/>
      </w:tblGrid>
      <w:tr w14:paraId="4838B3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405" w:type="dxa"/>
            <w:vAlign w:val="center"/>
          </w:tcPr>
          <w:p w14:paraId="51F6BB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60" w:type="dxa"/>
            <w:vAlign w:val="center"/>
          </w:tcPr>
          <w:p w14:paraId="142BE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项目部位</w:t>
            </w:r>
          </w:p>
        </w:tc>
        <w:tc>
          <w:tcPr>
            <w:tcW w:w="1220" w:type="dxa"/>
            <w:vAlign w:val="center"/>
          </w:tcPr>
          <w:p w14:paraId="2EE52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预算金额（元）</w:t>
            </w:r>
          </w:p>
        </w:tc>
        <w:tc>
          <w:tcPr>
            <w:tcW w:w="1466" w:type="dxa"/>
            <w:vAlign w:val="center"/>
          </w:tcPr>
          <w:p w14:paraId="023067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送审金额</w:t>
            </w:r>
          </w:p>
          <w:p w14:paraId="0C0418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72" w:type="dxa"/>
            <w:vAlign w:val="center"/>
          </w:tcPr>
          <w:p w14:paraId="74C8D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审定价</w:t>
            </w:r>
          </w:p>
          <w:p w14:paraId="6835B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57" w:type="dxa"/>
            <w:vAlign w:val="center"/>
          </w:tcPr>
          <w:p w14:paraId="736AB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审定结算价（元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66" w:type="dxa"/>
            <w:vAlign w:val="center"/>
          </w:tcPr>
          <w:p w14:paraId="40A06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  <w:p w14:paraId="4315FB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（㎡）</w:t>
            </w:r>
          </w:p>
        </w:tc>
        <w:tc>
          <w:tcPr>
            <w:tcW w:w="1068" w:type="dxa"/>
            <w:vAlign w:val="center"/>
          </w:tcPr>
          <w:p w14:paraId="4F3664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审计费</w:t>
            </w:r>
          </w:p>
          <w:p w14:paraId="69267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008" w:type="dxa"/>
            <w:vAlign w:val="center"/>
          </w:tcPr>
          <w:p w14:paraId="547D91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核减额</w:t>
            </w:r>
          </w:p>
          <w:p w14:paraId="78963D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67B3E1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2D0DA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60" w:type="dxa"/>
            <w:vAlign w:val="center"/>
          </w:tcPr>
          <w:p w14:paraId="0F88C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兴安华庭6#楼商业4011室屋面</w:t>
            </w:r>
          </w:p>
        </w:tc>
        <w:tc>
          <w:tcPr>
            <w:tcW w:w="1220" w:type="dxa"/>
            <w:vAlign w:val="center"/>
          </w:tcPr>
          <w:p w14:paraId="39F39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76536.22 </w:t>
            </w:r>
          </w:p>
        </w:tc>
        <w:tc>
          <w:tcPr>
            <w:tcW w:w="1466" w:type="dxa"/>
            <w:vAlign w:val="center"/>
          </w:tcPr>
          <w:p w14:paraId="6CBFA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76514.28 </w:t>
            </w:r>
          </w:p>
        </w:tc>
        <w:tc>
          <w:tcPr>
            <w:tcW w:w="1172" w:type="dxa"/>
            <w:vAlign w:val="center"/>
          </w:tcPr>
          <w:p w14:paraId="22027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72332.42 </w:t>
            </w:r>
          </w:p>
        </w:tc>
        <w:tc>
          <w:tcPr>
            <w:tcW w:w="1157" w:type="dxa"/>
            <w:vAlign w:val="center"/>
          </w:tcPr>
          <w:p w14:paraId="6FB3C8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72332.42 </w:t>
            </w:r>
          </w:p>
        </w:tc>
        <w:tc>
          <w:tcPr>
            <w:tcW w:w="966" w:type="dxa"/>
            <w:vAlign w:val="center"/>
          </w:tcPr>
          <w:p w14:paraId="7FD0F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735.20</w:t>
            </w:r>
          </w:p>
        </w:tc>
        <w:tc>
          <w:tcPr>
            <w:tcW w:w="1068" w:type="dxa"/>
            <w:vAlign w:val="center"/>
          </w:tcPr>
          <w:p w14:paraId="07C468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2400.00 </w:t>
            </w:r>
          </w:p>
        </w:tc>
        <w:tc>
          <w:tcPr>
            <w:tcW w:w="1008" w:type="dxa"/>
            <w:vAlign w:val="center"/>
          </w:tcPr>
          <w:p w14:paraId="0205F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4181.86 </w:t>
            </w:r>
          </w:p>
        </w:tc>
      </w:tr>
      <w:tr w14:paraId="23924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05" w:type="dxa"/>
            <w:vAlign w:val="top"/>
          </w:tcPr>
          <w:p w14:paraId="284F19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39A95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0" w:type="dxa"/>
            <w:vAlign w:val="center"/>
          </w:tcPr>
          <w:p w14:paraId="41E719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63A9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76536.22 </w:t>
            </w:r>
          </w:p>
        </w:tc>
        <w:tc>
          <w:tcPr>
            <w:tcW w:w="1466" w:type="dxa"/>
            <w:vAlign w:val="center"/>
          </w:tcPr>
          <w:p w14:paraId="065337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76514.28 </w:t>
            </w:r>
          </w:p>
        </w:tc>
        <w:tc>
          <w:tcPr>
            <w:tcW w:w="1172" w:type="dxa"/>
            <w:vAlign w:val="center"/>
          </w:tcPr>
          <w:p w14:paraId="1BA15B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72332.42 </w:t>
            </w:r>
          </w:p>
        </w:tc>
        <w:tc>
          <w:tcPr>
            <w:tcW w:w="1157" w:type="dxa"/>
            <w:vAlign w:val="center"/>
          </w:tcPr>
          <w:p w14:paraId="2AC27E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72332.42 </w:t>
            </w:r>
          </w:p>
        </w:tc>
        <w:tc>
          <w:tcPr>
            <w:tcW w:w="966" w:type="dxa"/>
            <w:vAlign w:val="center"/>
          </w:tcPr>
          <w:p w14:paraId="0DF0E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735.20</w:t>
            </w:r>
          </w:p>
        </w:tc>
        <w:tc>
          <w:tcPr>
            <w:tcW w:w="1068" w:type="dxa"/>
            <w:vAlign w:val="center"/>
          </w:tcPr>
          <w:p w14:paraId="217AF2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2400.00 </w:t>
            </w:r>
          </w:p>
        </w:tc>
        <w:tc>
          <w:tcPr>
            <w:tcW w:w="1008" w:type="dxa"/>
            <w:vAlign w:val="center"/>
          </w:tcPr>
          <w:p w14:paraId="55CEA7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4181.86 </w:t>
            </w:r>
          </w:p>
        </w:tc>
      </w:tr>
    </w:tbl>
    <w:p w14:paraId="694E0B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3183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2400.00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hint="default" w:ascii="Times New Roman" w:hAnsi="Times New Roman" w:eastAsia="方正仿宋_GBK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支。</w:t>
      </w:r>
    </w:p>
    <w:p w14:paraId="290F51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3" w:lineRule="auto"/>
        <w:ind w:left="0" w:leftChars="0" w:firstLine="656" w:firstLineChars="2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9  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11  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反映，并提供相关依据。（工作日接待时间：9：00-12：00、13：30-17：30）。联</w:t>
      </w:r>
      <w:r>
        <w:rPr>
          <w:rFonts w:hint="default" w:ascii="Times New Roman" w:hAnsi="Times New Roman" w:eastAsia="方正仿宋_GBK" w:cs="Times New Roman"/>
          <w:color w:val="000000" w:themeColor="text1"/>
          <w:spacing w:val="3"/>
          <w:sz w:val="32"/>
          <w:szCs w:val="32"/>
          <w14:textFill>
            <w14:solidFill>
              <w14:schemeClr w14:val="tx1"/>
            </w14:solidFill>
          </w14:textFill>
        </w:rPr>
        <w:t>系电话：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0517-89087576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</w:p>
    <w:p w14:paraId="08435E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4800" w:firstLineChars="15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淮安生态文化旅游区建设管理局</w:t>
      </w:r>
    </w:p>
    <w:p w14:paraId="5F1147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6" w:lineRule="auto"/>
        <w:ind w:firstLine="5372" w:firstLineChars="1700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9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0265E16"/>
    <w:rsid w:val="01B65B30"/>
    <w:rsid w:val="02184C85"/>
    <w:rsid w:val="07555925"/>
    <w:rsid w:val="080435E6"/>
    <w:rsid w:val="08C97A7B"/>
    <w:rsid w:val="0C1376B0"/>
    <w:rsid w:val="0E765A55"/>
    <w:rsid w:val="144D4FE0"/>
    <w:rsid w:val="18312E7F"/>
    <w:rsid w:val="1AE23C2A"/>
    <w:rsid w:val="1DB418AE"/>
    <w:rsid w:val="1F463188"/>
    <w:rsid w:val="1F703AE8"/>
    <w:rsid w:val="26C6005E"/>
    <w:rsid w:val="2CA36F24"/>
    <w:rsid w:val="2E625D39"/>
    <w:rsid w:val="2EC5109B"/>
    <w:rsid w:val="2FEE50F3"/>
    <w:rsid w:val="304862A3"/>
    <w:rsid w:val="33DC63B3"/>
    <w:rsid w:val="344A6670"/>
    <w:rsid w:val="34976513"/>
    <w:rsid w:val="34CD2DE0"/>
    <w:rsid w:val="397C36B3"/>
    <w:rsid w:val="3EB8453E"/>
    <w:rsid w:val="42473360"/>
    <w:rsid w:val="44300504"/>
    <w:rsid w:val="44A1052F"/>
    <w:rsid w:val="46AB1B60"/>
    <w:rsid w:val="46DF1047"/>
    <w:rsid w:val="47871C79"/>
    <w:rsid w:val="49895A61"/>
    <w:rsid w:val="49940662"/>
    <w:rsid w:val="4C79354A"/>
    <w:rsid w:val="4C932A4A"/>
    <w:rsid w:val="522D1654"/>
    <w:rsid w:val="534D3630"/>
    <w:rsid w:val="569063F4"/>
    <w:rsid w:val="587F428B"/>
    <w:rsid w:val="61F20266"/>
    <w:rsid w:val="61FA7B9B"/>
    <w:rsid w:val="6C95765F"/>
    <w:rsid w:val="6E98781A"/>
    <w:rsid w:val="73584CA9"/>
    <w:rsid w:val="75690BE3"/>
    <w:rsid w:val="779218D6"/>
    <w:rsid w:val="78F543CA"/>
    <w:rsid w:val="79DA6A9A"/>
    <w:rsid w:val="7B4D0290"/>
    <w:rsid w:val="7BE64484"/>
    <w:rsid w:val="7F011B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411</Words>
  <Characters>592</Characters>
  <TotalTime>4</TotalTime>
  <ScaleCrop>false</ScaleCrop>
  <LinksUpToDate>false</LinksUpToDate>
  <CharactersWithSpaces>678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2026-03-25T01:15:00Z</cp:lastPrinted>
  <dcterms:modified xsi:type="dcterms:W3CDTF">2026-09-04T00:55:01Z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